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4A0" w:firstRow="1" w:lastRow="0" w:firstColumn="1" w:lastColumn="0" w:noHBand="0" w:noVBand="1"/>
      </w:tblPr>
      <w:tblGrid>
        <w:gridCol w:w="1526"/>
        <w:gridCol w:w="283"/>
        <w:gridCol w:w="2552"/>
        <w:gridCol w:w="283"/>
        <w:gridCol w:w="1134"/>
        <w:gridCol w:w="284"/>
        <w:gridCol w:w="3260"/>
      </w:tblGrid>
      <w:tr w:rsidR="00FF54C9" w:rsidRPr="002833E7" w:rsidTr="00FF54C9">
        <w:tc>
          <w:tcPr>
            <w:tcW w:w="1526" w:type="dxa"/>
            <w:shd w:val="clear" w:color="auto" w:fill="auto"/>
          </w:tcPr>
          <w:p w:rsidR="00FF54C9" w:rsidRPr="002833E7" w:rsidRDefault="00FF54C9" w:rsidP="002833E7">
            <w:pPr>
              <w:rPr>
                <w:sz w:val="12"/>
                <w:szCs w:val="12"/>
              </w:rPr>
            </w:pPr>
            <w:bookmarkStart w:id="0" w:name="_GoBack"/>
            <w:bookmarkEnd w:id="0"/>
            <w:r w:rsidRPr="002833E7">
              <w:rPr>
                <w:sz w:val="12"/>
                <w:szCs w:val="12"/>
              </w:rPr>
              <w:t>Vår referanse:</w:t>
            </w:r>
          </w:p>
        </w:tc>
        <w:tc>
          <w:tcPr>
            <w:tcW w:w="283" w:type="dxa"/>
            <w:shd w:val="clear" w:color="auto" w:fill="auto"/>
          </w:tcPr>
          <w:p w:rsidR="00FF54C9" w:rsidRPr="002833E7" w:rsidRDefault="00FF54C9" w:rsidP="002833E7">
            <w:pPr>
              <w:rPr>
                <w:sz w:val="12"/>
                <w:szCs w:val="12"/>
              </w:rPr>
            </w:pPr>
          </w:p>
        </w:tc>
        <w:tc>
          <w:tcPr>
            <w:tcW w:w="2552" w:type="dxa"/>
            <w:shd w:val="clear" w:color="auto" w:fill="auto"/>
          </w:tcPr>
          <w:p w:rsidR="00FF54C9" w:rsidRPr="002833E7" w:rsidRDefault="00FF54C9" w:rsidP="002833E7">
            <w:pPr>
              <w:rPr>
                <w:sz w:val="12"/>
                <w:szCs w:val="12"/>
              </w:rPr>
            </w:pPr>
            <w:r w:rsidRPr="002833E7">
              <w:rPr>
                <w:sz w:val="12"/>
                <w:szCs w:val="12"/>
              </w:rPr>
              <w:t>Saksbehandler:</w:t>
            </w:r>
          </w:p>
        </w:tc>
        <w:tc>
          <w:tcPr>
            <w:tcW w:w="283" w:type="dxa"/>
            <w:shd w:val="clear" w:color="auto" w:fill="auto"/>
          </w:tcPr>
          <w:p w:rsidR="00FF54C9" w:rsidRPr="002833E7" w:rsidRDefault="00FF54C9" w:rsidP="002833E7">
            <w:pPr>
              <w:rPr>
                <w:sz w:val="12"/>
                <w:szCs w:val="12"/>
              </w:rPr>
            </w:pPr>
          </w:p>
        </w:tc>
        <w:tc>
          <w:tcPr>
            <w:tcW w:w="1134" w:type="dxa"/>
            <w:shd w:val="clear" w:color="auto" w:fill="auto"/>
          </w:tcPr>
          <w:p w:rsidR="00FF54C9" w:rsidRPr="002833E7" w:rsidRDefault="00FF54C9" w:rsidP="002833E7">
            <w:pPr>
              <w:rPr>
                <w:sz w:val="12"/>
                <w:szCs w:val="12"/>
              </w:rPr>
            </w:pPr>
            <w:r w:rsidRPr="002833E7">
              <w:rPr>
                <w:sz w:val="12"/>
                <w:szCs w:val="12"/>
              </w:rPr>
              <w:t>Dato:</w:t>
            </w:r>
          </w:p>
        </w:tc>
        <w:tc>
          <w:tcPr>
            <w:tcW w:w="284" w:type="dxa"/>
            <w:shd w:val="clear" w:color="auto" w:fill="auto"/>
          </w:tcPr>
          <w:p w:rsidR="00FF54C9" w:rsidRPr="002833E7" w:rsidRDefault="00FF54C9" w:rsidP="002833E7">
            <w:pPr>
              <w:rPr>
                <w:sz w:val="12"/>
                <w:szCs w:val="12"/>
              </w:rPr>
            </w:pPr>
          </w:p>
        </w:tc>
        <w:tc>
          <w:tcPr>
            <w:tcW w:w="3260" w:type="dxa"/>
            <w:vMerge w:val="restart"/>
            <w:shd w:val="clear" w:color="auto" w:fill="auto"/>
          </w:tcPr>
          <w:p w:rsidR="00FF54C9" w:rsidRPr="002833E7" w:rsidRDefault="00FF54C9" w:rsidP="002833E7">
            <w:pPr>
              <w:jc w:val="right"/>
              <w:rPr>
                <w:b/>
                <w:sz w:val="16"/>
                <w:szCs w:val="16"/>
              </w:rPr>
            </w:pPr>
            <w:bookmarkStart w:id="1" w:name="UOFFPARAGRAF"/>
            <w:bookmarkEnd w:id="1"/>
          </w:p>
        </w:tc>
      </w:tr>
      <w:tr w:rsidR="00FF54C9" w:rsidRPr="002833E7" w:rsidTr="00FF54C9">
        <w:tc>
          <w:tcPr>
            <w:tcW w:w="1526" w:type="dxa"/>
            <w:shd w:val="clear" w:color="auto" w:fill="auto"/>
          </w:tcPr>
          <w:p w:rsidR="00FF54C9" w:rsidRPr="002833E7" w:rsidRDefault="0075489F" w:rsidP="002833E7">
            <w:pPr>
              <w:rPr>
                <w:sz w:val="16"/>
                <w:szCs w:val="16"/>
              </w:rPr>
            </w:pPr>
            <w:bookmarkStart w:id="2" w:name="SAKSNR"/>
            <w:r>
              <w:rPr>
                <w:sz w:val="16"/>
                <w:szCs w:val="16"/>
              </w:rPr>
              <w:t>2013/896</w:t>
            </w:r>
            <w:bookmarkEnd w:id="2"/>
            <w:r w:rsidR="00FF54C9" w:rsidRPr="002833E7">
              <w:rPr>
                <w:sz w:val="16"/>
                <w:szCs w:val="16"/>
              </w:rPr>
              <w:t>-</w:t>
            </w:r>
            <w:bookmarkStart w:id="3" w:name="NRISAK"/>
            <w:r>
              <w:rPr>
                <w:sz w:val="16"/>
                <w:szCs w:val="16"/>
              </w:rPr>
              <w:t>15</w:t>
            </w:r>
            <w:bookmarkEnd w:id="3"/>
            <w:r w:rsidR="00FF54C9" w:rsidRPr="002833E7">
              <w:rPr>
                <w:sz w:val="16"/>
                <w:szCs w:val="16"/>
              </w:rPr>
              <w:t>-</w:t>
            </w:r>
            <w:bookmarkStart w:id="4" w:name="PRIMÆRKLASSERING"/>
            <w:r>
              <w:rPr>
                <w:sz w:val="16"/>
                <w:szCs w:val="16"/>
              </w:rPr>
              <w:t>L12</w:t>
            </w:r>
            <w:bookmarkEnd w:id="4"/>
          </w:p>
        </w:tc>
        <w:tc>
          <w:tcPr>
            <w:tcW w:w="283" w:type="dxa"/>
            <w:shd w:val="clear" w:color="auto" w:fill="auto"/>
          </w:tcPr>
          <w:p w:rsidR="00FF54C9" w:rsidRPr="002833E7" w:rsidRDefault="00FF54C9" w:rsidP="002833E7">
            <w:pPr>
              <w:rPr>
                <w:sz w:val="16"/>
                <w:szCs w:val="16"/>
              </w:rPr>
            </w:pPr>
          </w:p>
        </w:tc>
        <w:tc>
          <w:tcPr>
            <w:tcW w:w="2552" w:type="dxa"/>
            <w:shd w:val="clear" w:color="auto" w:fill="auto"/>
          </w:tcPr>
          <w:p w:rsidR="00FF54C9" w:rsidRPr="002833E7" w:rsidRDefault="0075489F" w:rsidP="002833E7">
            <w:pPr>
              <w:rPr>
                <w:sz w:val="16"/>
                <w:szCs w:val="16"/>
              </w:rPr>
            </w:pPr>
            <w:bookmarkStart w:id="5" w:name="SAKSBEHANDLERNAVN"/>
            <w:r>
              <w:rPr>
                <w:sz w:val="16"/>
                <w:szCs w:val="16"/>
              </w:rPr>
              <w:t>Linn Tautra Grønseth</w:t>
            </w:r>
            <w:bookmarkEnd w:id="5"/>
          </w:p>
        </w:tc>
        <w:tc>
          <w:tcPr>
            <w:tcW w:w="283" w:type="dxa"/>
            <w:shd w:val="clear" w:color="auto" w:fill="auto"/>
          </w:tcPr>
          <w:p w:rsidR="00FF54C9" w:rsidRPr="002833E7" w:rsidRDefault="00FF54C9" w:rsidP="002833E7">
            <w:pPr>
              <w:rPr>
                <w:sz w:val="16"/>
                <w:szCs w:val="16"/>
              </w:rPr>
            </w:pPr>
          </w:p>
        </w:tc>
        <w:tc>
          <w:tcPr>
            <w:tcW w:w="1134" w:type="dxa"/>
            <w:shd w:val="clear" w:color="auto" w:fill="auto"/>
          </w:tcPr>
          <w:p w:rsidR="00FF54C9" w:rsidRPr="002833E7" w:rsidRDefault="0075489F" w:rsidP="002833E7">
            <w:pPr>
              <w:rPr>
                <w:sz w:val="16"/>
                <w:szCs w:val="16"/>
              </w:rPr>
            </w:pPr>
            <w:bookmarkStart w:id="6" w:name="BREVDATO"/>
            <w:r>
              <w:rPr>
                <w:sz w:val="16"/>
                <w:szCs w:val="16"/>
              </w:rPr>
              <w:t>31.08.2015</w:t>
            </w:r>
            <w:bookmarkEnd w:id="6"/>
          </w:p>
        </w:tc>
        <w:tc>
          <w:tcPr>
            <w:tcW w:w="284" w:type="dxa"/>
            <w:shd w:val="clear" w:color="auto" w:fill="auto"/>
          </w:tcPr>
          <w:p w:rsidR="00FF54C9" w:rsidRPr="002833E7" w:rsidRDefault="00FF54C9" w:rsidP="002833E7">
            <w:pPr>
              <w:rPr>
                <w:sz w:val="16"/>
                <w:szCs w:val="16"/>
              </w:rPr>
            </w:pPr>
          </w:p>
        </w:tc>
        <w:tc>
          <w:tcPr>
            <w:tcW w:w="3260" w:type="dxa"/>
            <w:vMerge/>
            <w:shd w:val="clear" w:color="auto" w:fill="auto"/>
          </w:tcPr>
          <w:p w:rsidR="00FF54C9" w:rsidRPr="002833E7" w:rsidRDefault="00FF54C9" w:rsidP="002833E7">
            <w:pPr>
              <w:rPr>
                <w:sz w:val="16"/>
                <w:szCs w:val="16"/>
              </w:rPr>
            </w:pPr>
          </w:p>
        </w:tc>
      </w:tr>
    </w:tbl>
    <w:p w:rsidR="007C2401" w:rsidRPr="002833E7" w:rsidRDefault="007C2401" w:rsidP="002833E7"/>
    <w:p w:rsidR="00857C13" w:rsidRPr="002833E7" w:rsidRDefault="00857C13" w:rsidP="002833E7"/>
    <w:p w:rsidR="00857C13" w:rsidRPr="002833E7" w:rsidRDefault="00857C13" w:rsidP="002833E7"/>
    <w:p w:rsidR="00857C13" w:rsidRPr="00FA2087" w:rsidRDefault="0075489F" w:rsidP="00216EF3">
      <w:pPr>
        <w:pStyle w:val="Overskrift1"/>
      </w:pPr>
      <w:bookmarkStart w:id="7" w:name="TITTEL"/>
      <w:r>
        <w:t>Delplan for forskningsrelaterte aktiviteter i Adventdalen - Førstegangsbehandling</w:t>
      </w:r>
      <w:bookmarkEnd w:id="7"/>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954"/>
        <w:gridCol w:w="1559"/>
        <w:gridCol w:w="1701"/>
      </w:tblGrid>
      <w:tr w:rsidR="00857C13" w:rsidRPr="00D95632" w:rsidTr="00857C13">
        <w:tc>
          <w:tcPr>
            <w:tcW w:w="5954" w:type="dxa"/>
            <w:shd w:val="clear" w:color="auto" w:fill="auto"/>
          </w:tcPr>
          <w:p w:rsidR="00857C13" w:rsidRPr="00D95632" w:rsidRDefault="00857C13" w:rsidP="002833E7">
            <w:pPr>
              <w:rPr>
                <w:b/>
              </w:rPr>
            </w:pPr>
            <w:r w:rsidRPr="00D95632">
              <w:rPr>
                <w:b/>
              </w:rPr>
              <w:t>Utvalg</w:t>
            </w:r>
          </w:p>
        </w:tc>
        <w:tc>
          <w:tcPr>
            <w:tcW w:w="1559" w:type="dxa"/>
          </w:tcPr>
          <w:p w:rsidR="00857C13" w:rsidRPr="00D95632" w:rsidRDefault="00857C13" w:rsidP="002833E7">
            <w:pPr>
              <w:rPr>
                <w:b/>
              </w:rPr>
            </w:pPr>
            <w:proofErr w:type="spellStart"/>
            <w:r w:rsidRPr="00D95632">
              <w:rPr>
                <w:b/>
              </w:rPr>
              <w:t>Utv.saksnr</w:t>
            </w:r>
            <w:proofErr w:type="spellEnd"/>
            <w:r w:rsidRPr="00D95632">
              <w:rPr>
                <w:b/>
              </w:rPr>
              <w:t>.</w:t>
            </w:r>
          </w:p>
        </w:tc>
        <w:tc>
          <w:tcPr>
            <w:tcW w:w="1701" w:type="dxa"/>
            <w:shd w:val="clear" w:color="auto" w:fill="auto"/>
          </w:tcPr>
          <w:p w:rsidR="00857C13" w:rsidRPr="00D95632" w:rsidRDefault="00857C13" w:rsidP="002833E7">
            <w:pPr>
              <w:rPr>
                <w:b/>
              </w:rPr>
            </w:pPr>
            <w:r w:rsidRPr="00D95632">
              <w:rPr>
                <w:b/>
              </w:rPr>
              <w:t>Møtedato</w:t>
            </w:r>
          </w:p>
        </w:tc>
      </w:tr>
      <w:tr w:rsidR="00857C13" w:rsidRPr="00857C13" w:rsidTr="00857C13">
        <w:tc>
          <w:tcPr>
            <w:tcW w:w="5954" w:type="dxa"/>
            <w:shd w:val="clear" w:color="auto" w:fill="auto"/>
          </w:tcPr>
          <w:p w:rsidR="00857C13" w:rsidRPr="00857C13" w:rsidRDefault="00F56184" w:rsidP="002833E7">
            <w:bookmarkStart w:id="8" w:name="Saksgang"/>
            <w:bookmarkEnd w:id="8"/>
            <w:r>
              <w:t>Teknisk utvalg</w:t>
            </w:r>
          </w:p>
        </w:tc>
        <w:tc>
          <w:tcPr>
            <w:tcW w:w="1559" w:type="dxa"/>
          </w:tcPr>
          <w:p w:rsidR="00857C13" w:rsidRPr="00857C13" w:rsidRDefault="00F56184" w:rsidP="002833E7">
            <w:r>
              <w:t>34/15</w:t>
            </w:r>
          </w:p>
        </w:tc>
        <w:tc>
          <w:tcPr>
            <w:tcW w:w="1701" w:type="dxa"/>
            <w:shd w:val="clear" w:color="auto" w:fill="auto"/>
          </w:tcPr>
          <w:p w:rsidR="00857C13" w:rsidRPr="00857C13" w:rsidRDefault="00F56184" w:rsidP="002833E7">
            <w:r>
              <w:t>29.09.2015</w:t>
            </w:r>
          </w:p>
        </w:tc>
      </w:tr>
    </w:tbl>
    <w:p w:rsidR="00F56184" w:rsidRPr="00B566B8" w:rsidRDefault="00F56184" w:rsidP="00F56184">
      <w:pPr>
        <w:pStyle w:val="Overskrift2"/>
        <w:spacing w:before="280"/>
      </w:pPr>
      <w:bookmarkStart w:id="9" w:name="UTVALGSNAVN"/>
      <w:r>
        <w:t>Teknisk utvalg</w:t>
      </w:r>
      <w:bookmarkEnd w:id="9"/>
      <w:r w:rsidRPr="00B566B8">
        <w:t xml:space="preserve">s behandling - </w:t>
      </w:r>
      <w:bookmarkStart w:id="10" w:name="MØTEDATO"/>
      <w:r>
        <w:t>29.09.2015</w:t>
      </w:r>
      <w:bookmarkEnd w:id="10"/>
      <w:r w:rsidRPr="00B566B8">
        <w:t xml:space="preserve"> </w:t>
      </w:r>
    </w:p>
    <w:p w:rsidR="00F56184" w:rsidRDefault="00F56184" w:rsidP="00F56184">
      <w:r>
        <w:t>Administrasjonssjefens anbefaling ble enstemmig vedtatt.</w:t>
      </w:r>
    </w:p>
    <w:p w:rsidR="00F56184" w:rsidRDefault="00F56184" w:rsidP="00F56184"/>
    <w:p w:rsidR="00F56184" w:rsidRPr="00B566B8" w:rsidRDefault="00F56184" w:rsidP="00F56184">
      <w:pPr>
        <w:pStyle w:val="Overskrift2"/>
      </w:pPr>
      <w:bookmarkStart w:id="11" w:name="UTVALGSNAVN2"/>
      <w:r>
        <w:t>Teknisk utvalg</w:t>
      </w:r>
      <w:bookmarkEnd w:id="11"/>
      <w:r w:rsidRPr="00B566B8">
        <w:t xml:space="preserve">s vedtak - </w:t>
      </w:r>
      <w:bookmarkStart w:id="12" w:name="MØTEDATO2"/>
      <w:r>
        <w:t>29.09.2015</w:t>
      </w:r>
      <w:bookmarkEnd w:id="12"/>
    </w:p>
    <w:p w:rsidR="00F56184" w:rsidRPr="009F1EB4" w:rsidRDefault="00F56184" w:rsidP="00F56184">
      <w:pPr>
        <w:rPr>
          <w:szCs w:val="22"/>
        </w:rPr>
      </w:pPr>
      <w:r w:rsidRPr="009F1EB4">
        <w:rPr>
          <w:szCs w:val="22"/>
        </w:rPr>
        <w:t>Teknisk utvalg vedtar med hjemmel i svalbardmiljøloven § 50, siste ledd, å legge forslag til delplan for forskningsrelaterte aktiviteter i Adventdalen datert 4.6.2015, med tilhørende planbeskrivelse og planbestemmelser datert 4.6.2015 ut til offentlig ettersyn.</w:t>
      </w:r>
    </w:p>
    <w:p w:rsidR="00F56184" w:rsidRPr="0071142E" w:rsidRDefault="00F56184" w:rsidP="00F56184">
      <w:pPr>
        <w:rPr>
          <w:vanish/>
          <w:color w:val="0000FF"/>
          <w:sz w:val="16"/>
          <w:szCs w:val="16"/>
        </w:rPr>
      </w:pPr>
      <w:r w:rsidRPr="0071142E">
        <w:rPr>
          <w:vanish/>
          <w:color w:val="0000FF"/>
          <w:sz w:val="16"/>
          <w:szCs w:val="16"/>
        </w:rPr>
        <w:t>--- slutt på saksprotokoll ---</w:t>
      </w:r>
    </w:p>
    <w:p w:rsidR="00F56184" w:rsidRDefault="00F56184" w:rsidP="00F56184"/>
    <w:p w:rsidR="00A67D60" w:rsidRDefault="00A67D60" w:rsidP="00A67D60">
      <w:pPr>
        <w:rPr>
          <w:szCs w:val="22"/>
        </w:rPr>
      </w:pPr>
    </w:p>
    <w:p w:rsidR="00F56184" w:rsidRPr="00590195" w:rsidRDefault="00F56184" w:rsidP="00A67D60">
      <w:pPr>
        <w:rPr>
          <w:szCs w:val="22"/>
        </w:rPr>
      </w:pPr>
      <w:bookmarkStart w:id="13" w:name="ephOppMerke"/>
      <w:bookmarkEnd w:id="13"/>
    </w:p>
    <w:p w:rsidR="00F56184" w:rsidRPr="00590195" w:rsidRDefault="00F56184" w:rsidP="00F56184">
      <w:pPr>
        <w:pStyle w:val="Overskrift2"/>
        <w:spacing w:before="280"/>
        <w:rPr>
          <w:szCs w:val="22"/>
        </w:rPr>
      </w:pPr>
      <w:bookmarkStart w:id="14" w:name="Innstilling"/>
      <w:r w:rsidRPr="00590195">
        <w:rPr>
          <w:szCs w:val="22"/>
        </w:rPr>
        <w:t>Anbefaling:</w:t>
      </w:r>
    </w:p>
    <w:p w:rsidR="00F56184" w:rsidRDefault="00F56184" w:rsidP="00F56184">
      <w:pPr>
        <w:rPr>
          <w:szCs w:val="22"/>
        </w:rPr>
      </w:pPr>
      <w:r>
        <w:rPr>
          <w:szCs w:val="22"/>
        </w:rPr>
        <w:t>Teknisk utvalg vedtar med hjemmel i svalbardmiljøloven § 50, siste ledd, å legge forslag til delplan for forskningsrelaterte aktiviteter i Adventdalen datert 4.6.2015, med tilhørende planbeskrivelse og planbestemmelser datert 4.6.2015 ut til offentlig ettersyn.</w:t>
      </w:r>
    </w:p>
    <w:p w:rsidR="00F56184" w:rsidRPr="001072F9" w:rsidRDefault="00F56184" w:rsidP="00F56184">
      <w:pPr>
        <w:rPr>
          <w:vanish/>
          <w:color w:val="0000FF"/>
          <w:sz w:val="16"/>
          <w:szCs w:val="16"/>
        </w:rPr>
      </w:pPr>
      <w:r w:rsidRPr="001072F9">
        <w:rPr>
          <w:vanish/>
          <w:color w:val="0000FF"/>
          <w:sz w:val="16"/>
          <w:szCs w:val="16"/>
        </w:rPr>
        <w:t>--- slutt på innstilling ---</w:t>
      </w:r>
    </w:p>
    <w:bookmarkEnd w:id="14"/>
    <w:p w:rsidR="008E11A3" w:rsidRDefault="008E11A3">
      <w:pPr>
        <w:tabs>
          <w:tab w:val="clear" w:pos="1170"/>
        </w:tabs>
        <w:rPr>
          <w:szCs w:val="22"/>
        </w:rPr>
      </w:pPr>
    </w:p>
    <w:p w:rsidR="00F56184" w:rsidRDefault="00F56184">
      <w:pPr>
        <w:tabs>
          <w:tab w:val="clear" w:pos="1170"/>
        </w:tabs>
        <w:rPr>
          <w:szCs w:val="22"/>
        </w:rPr>
      </w:pPr>
      <w:bookmarkStart w:id="15" w:name="ephNedMerke"/>
      <w:bookmarkEnd w:id="15"/>
    </w:p>
    <w:p w:rsidR="001D0E23" w:rsidRDefault="001D0E23">
      <w:pPr>
        <w:tabs>
          <w:tab w:val="clear" w:pos="1170"/>
        </w:tabs>
        <w:rPr>
          <w:szCs w:val="22"/>
        </w:rPr>
      </w:pPr>
    </w:p>
    <w:p w:rsidR="00857C13" w:rsidRPr="002657F0" w:rsidRDefault="00857C13" w:rsidP="00216EF3">
      <w:pPr>
        <w:pStyle w:val="Overskrift2"/>
      </w:pPr>
      <w:r w:rsidRPr="002657F0">
        <w:t>Saksopplysninger:</w:t>
      </w:r>
    </w:p>
    <w:p w:rsidR="00226C78" w:rsidRDefault="00226C78" w:rsidP="002833E7">
      <w:bookmarkStart w:id="16" w:name="Start"/>
      <w:bookmarkEnd w:id="16"/>
      <w:r>
        <w:t>UNIS er engasjert i forskning knyttet til studier av CO</w:t>
      </w:r>
      <w:r>
        <w:rPr>
          <w:vertAlign w:val="subscript"/>
        </w:rPr>
        <w:t>2</w:t>
      </w:r>
      <w:r>
        <w:t>-lagring i grunnen, og har i perioden mellom 2007 – 2013 boret 8 brønner tiltenkte dette. Frem til nå har det kun bli</w:t>
      </w:r>
      <w:r w:rsidR="00255B98">
        <w:t xml:space="preserve">tt benyttet vann i injeksjonene. Forslagsstiller ønsker nå </w:t>
      </w:r>
      <w:r>
        <w:t>å</w:t>
      </w:r>
      <w:r w:rsidR="001741FC">
        <w:t xml:space="preserve"> bore flere brønner og</w:t>
      </w:r>
      <w:r>
        <w:t xml:space="preserve"> tillate injeksjon av CO</w:t>
      </w:r>
      <w:r>
        <w:rPr>
          <w:vertAlign w:val="subscript"/>
        </w:rPr>
        <w:t>2</w:t>
      </w:r>
      <w:r w:rsidR="001741FC">
        <w:t xml:space="preserve"> i disse.</w:t>
      </w:r>
      <w:r>
        <w:t xml:space="preserve"> </w:t>
      </w:r>
      <w:r w:rsidR="00255B98">
        <w:t>I tillegg foreslås utvidelse av eksisterende bygningsmasse i området. Den</w:t>
      </w:r>
      <w:r>
        <w:t xml:space="preserve"> </w:t>
      </w:r>
      <w:r w:rsidR="003E2A0F">
        <w:t>økte</w:t>
      </w:r>
      <w:r>
        <w:t xml:space="preserve"> </w:t>
      </w:r>
      <w:r w:rsidR="001741FC">
        <w:t>aktiviteten</w:t>
      </w:r>
      <w:r>
        <w:t xml:space="preserve"> </w:t>
      </w:r>
      <w:r w:rsidR="00BA3B7F">
        <w:t>fører med seg</w:t>
      </w:r>
      <w:r>
        <w:t xml:space="preserve"> tiltak</w:t>
      </w:r>
      <w:r w:rsidR="001741FC">
        <w:t xml:space="preserve"> i et omfang</w:t>
      </w:r>
      <w:r>
        <w:t xml:space="preserve"> og</w:t>
      </w:r>
      <w:r w:rsidR="001741FC">
        <w:t xml:space="preserve"> med</w:t>
      </w:r>
      <w:r>
        <w:t xml:space="preserve"> </w:t>
      </w:r>
      <w:r w:rsidR="001741FC">
        <w:t>en areal</w:t>
      </w:r>
      <w:r>
        <w:t>bruk som utløser krav til delplan.</w:t>
      </w:r>
    </w:p>
    <w:p w:rsidR="00226C78" w:rsidRPr="00226C78" w:rsidRDefault="00226C78" w:rsidP="002833E7"/>
    <w:p w:rsidR="00A57D3E" w:rsidRDefault="00226C78" w:rsidP="002833E7">
      <w:r>
        <w:t>Delplanen skal legge til rette for videreføring av forskningsaktivitet i området</w:t>
      </w:r>
      <w:r w:rsidR="00BA3B7F">
        <w:t xml:space="preserve"> rundt gamle flyplassen. </w:t>
      </w:r>
      <w:r>
        <w:t>I tillegg til etablering av infrastruktur og brønner, geofoner og annen instrumentering tilknyttet forskningen, så muliggjør planen også plassering av anlegg og innretninger</w:t>
      </w:r>
      <w:r w:rsidR="00BA3B7F">
        <w:t xml:space="preserve"> på bakkeplan</w:t>
      </w:r>
      <w:r>
        <w:t>, samt tilrettelegg</w:t>
      </w:r>
      <w:r w:rsidR="00BA3B7F">
        <w:t>ing</w:t>
      </w:r>
      <w:r>
        <w:t xml:space="preserve"> for trafikk.</w:t>
      </w:r>
      <w:r w:rsidR="006B0E9E">
        <w:t xml:space="preserve"> I tillegg til rene forskningsrelaterte behov</w:t>
      </w:r>
      <w:r w:rsidR="009B0C8C">
        <w:t>, legger planen også til rette for utvidelse av bygningsmassen ved det gamle Nordlys observatoriet, med sikte på å etablere et vitenskapelig besøks/visningssenter.</w:t>
      </w:r>
    </w:p>
    <w:p w:rsidR="006B0E9E" w:rsidRPr="00226C78" w:rsidRDefault="006B0E9E" w:rsidP="002833E7"/>
    <w:p w:rsidR="00A57D3E" w:rsidRDefault="006B0E9E" w:rsidP="002833E7">
      <w:r>
        <w:t>Forslag til planprogram for planarbeidet</w:t>
      </w:r>
      <w:r w:rsidR="00BB065F">
        <w:t>, datert 11.11.2013,</w:t>
      </w:r>
      <w:r>
        <w:t xml:space="preserve"> ble </w:t>
      </w:r>
      <w:r w:rsidR="00BB065F">
        <w:t xml:space="preserve">lagt ut på offentlig ettersyn den 5.12.2013. Forslagsstiller har mottatt fire uttalelser (Bergmesteren, Forskningsrådet, Kystverket og Sysselmannen), uten at de kom merknader av betydning for det videre planarbeidet. </w:t>
      </w:r>
    </w:p>
    <w:p w:rsidR="00BB065F" w:rsidRDefault="00BB065F" w:rsidP="002833E7"/>
    <w:p w:rsidR="00BB065F" w:rsidRDefault="00BB065F" w:rsidP="002833E7">
      <w:r>
        <w:lastRenderedPageBreak/>
        <w:t xml:space="preserve">Longyearbyen lokalstyre har i sine tilbakemeldinger til delplanforslaget lagt vekt på hensynet til allmennhetens ferdsel i området (skuter og hundespann), høyden på bebyggelse, avstand til elvedelta, samt at forslagsstiller og Sysselmannen måtte bli enige om en akseptabel sikringssone mot kulturminnene i området. </w:t>
      </w:r>
    </w:p>
    <w:p w:rsidR="00A21B5B" w:rsidRDefault="00A21B5B" w:rsidP="002833E7"/>
    <w:p w:rsidR="00A21B5B" w:rsidRDefault="00A21B5B" w:rsidP="002833E7">
      <w:r>
        <w:t>Planen har på en tilfredsstillende måte imøtekommet Longyearbyen lokalstyre sin innspill, og det er oppnådd enighet mellom forslagsstiller og Sysselmannen hva gjelder sikringssone. Se vedlegg med Sysselmannens vedtak om flytting av sikringssoner, datert 11.5.2015.</w:t>
      </w:r>
    </w:p>
    <w:p w:rsidR="006B0E9E" w:rsidRDefault="006B0E9E" w:rsidP="002833E7"/>
    <w:p w:rsidR="00857C13" w:rsidRDefault="0004731C" w:rsidP="002833E7">
      <w:r>
        <w:t>Naturgitte forhold, risiko- og sårbarhetsanalyse og forholdet til etablerte virksomheter i omr</w:t>
      </w:r>
      <w:r w:rsidR="00C47591">
        <w:t>ådet er drøftet i planbeskrivelsen</w:t>
      </w:r>
      <w:r>
        <w:t>.</w:t>
      </w:r>
    </w:p>
    <w:p w:rsidR="002833E7" w:rsidRDefault="002833E7" w:rsidP="002833E7"/>
    <w:p w:rsidR="00857C13" w:rsidRDefault="00857C13" w:rsidP="00216EF3">
      <w:pPr>
        <w:pStyle w:val="Overskrift2"/>
      </w:pPr>
      <w:r w:rsidRPr="00857C13">
        <w:t>Vurdering:</w:t>
      </w:r>
    </w:p>
    <w:p w:rsidR="00A21B5B" w:rsidRPr="00A21B5B" w:rsidRDefault="00A21B5B" w:rsidP="00A21B5B">
      <w:pPr>
        <w:rPr>
          <w:lang w:eastAsia="nb-NO"/>
        </w:rPr>
      </w:pPr>
      <w:r>
        <w:rPr>
          <w:lang w:eastAsia="nb-NO"/>
        </w:rPr>
        <w:t>Administrasjonssjefen finner at planprogrammet er oppfylt, og at planforslaget gir gode nok rammer for å behandle søknad om tiltak innenfor planområdet. Administrasjonssjefen anbefaler at forslag til delplan for forskningsrelaterte aktiviteter i Adventdalen legges ut til offentlig ettersyn.</w:t>
      </w:r>
    </w:p>
    <w:p w:rsidR="002657F0" w:rsidRDefault="002657F0" w:rsidP="002833E7"/>
    <w:p w:rsidR="002833E7" w:rsidRPr="00590195" w:rsidRDefault="002833E7" w:rsidP="002833E7"/>
    <w:tbl>
      <w:tblPr>
        <w:tblW w:w="0" w:type="auto"/>
        <w:tblLayout w:type="fixed"/>
        <w:tblCellMar>
          <w:left w:w="70" w:type="dxa"/>
          <w:right w:w="70" w:type="dxa"/>
        </w:tblCellMar>
        <w:tblLook w:val="0000" w:firstRow="0" w:lastRow="0" w:firstColumn="0" w:lastColumn="0" w:noHBand="0" w:noVBand="0"/>
      </w:tblPr>
      <w:tblGrid>
        <w:gridCol w:w="360"/>
        <w:gridCol w:w="8360"/>
      </w:tblGrid>
      <w:tr w:rsidR="0075489F" w:rsidRPr="0075489F" w:rsidTr="00C9009C">
        <w:tc>
          <w:tcPr>
            <w:tcW w:w="8720" w:type="dxa"/>
            <w:gridSpan w:val="2"/>
            <w:shd w:val="clear" w:color="auto" w:fill="auto"/>
          </w:tcPr>
          <w:p w:rsidR="0075489F" w:rsidRPr="0075489F" w:rsidRDefault="0075489F" w:rsidP="002833E7">
            <w:r>
              <w:t>Vedlegg:</w:t>
            </w:r>
          </w:p>
        </w:tc>
      </w:tr>
      <w:tr w:rsidR="0075489F" w:rsidRPr="0075489F" w:rsidTr="0075489F">
        <w:tc>
          <w:tcPr>
            <w:tcW w:w="360" w:type="dxa"/>
            <w:shd w:val="clear" w:color="auto" w:fill="auto"/>
          </w:tcPr>
          <w:p w:rsidR="0075489F" w:rsidRPr="0075489F" w:rsidRDefault="0075489F" w:rsidP="002833E7">
            <w:bookmarkStart w:id="17" w:name="Vedlegg"/>
            <w:bookmarkEnd w:id="17"/>
            <w:r w:rsidRPr="0075489F">
              <w:t>1</w:t>
            </w:r>
          </w:p>
        </w:tc>
        <w:tc>
          <w:tcPr>
            <w:tcW w:w="8360" w:type="dxa"/>
            <w:shd w:val="clear" w:color="auto" w:fill="auto"/>
          </w:tcPr>
          <w:p w:rsidR="0075489F" w:rsidRPr="0075489F" w:rsidRDefault="0075489F" w:rsidP="002833E7">
            <w:r w:rsidRPr="0075489F">
              <w:t>Planbeskrivelse med bestemmelser, 4.6.2015</w:t>
            </w:r>
          </w:p>
        </w:tc>
      </w:tr>
      <w:tr w:rsidR="0075489F" w:rsidRPr="0075489F" w:rsidTr="0075489F">
        <w:tc>
          <w:tcPr>
            <w:tcW w:w="360" w:type="dxa"/>
            <w:shd w:val="clear" w:color="auto" w:fill="auto"/>
          </w:tcPr>
          <w:p w:rsidR="0075489F" w:rsidRPr="0075489F" w:rsidRDefault="0075489F" w:rsidP="002833E7">
            <w:r w:rsidRPr="0075489F">
              <w:t>2</w:t>
            </w:r>
          </w:p>
        </w:tc>
        <w:tc>
          <w:tcPr>
            <w:tcW w:w="8360" w:type="dxa"/>
            <w:shd w:val="clear" w:color="auto" w:fill="auto"/>
          </w:tcPr>
          <w:p w:rsidR="0075489F" w:rsidRPr="0075489F" w:rsidRDefault="0075489F" w:rsidP="002833E7">
            <w:r w:rsidRPr="0075489F">
              <w:t>Plankart 4.6.2015</w:t>
            </w:r>
          </w:p>
        </w:tc>
      </w:tr>
      <w:tr w:rsidR="0075489F" w:rsidRPr="0075489F" w:rsidTr="0075489F">
        <w:tc>
          <w:tcPr>
            <w:tcW w:w="360" w:type="dxa"/>
            <w:shd w:val="clear" w:color="auto" w:fill="auto"/>
          </w:tcPr>
          <w:p w:rsidR="0075489F" w:rsidRPr="0075489F" w:rsidRDefault="0075489F" w:rsidP="002833E7">
            <w:r w:rsidRPr="0075489F">
              <w:t>3</w:t>
            </w:r>
          </w:p>
        </w:tc>
        <w:tc>
          <w:tcPr>
            <w:tcW w:w="8360" w:type="dxa"/>
            <w:shd w:val="clear" w:color="auto" w:fill="auto"/>
          </w:tcPr>
          <w:p w:rsidR="0075489F" w:rsidRPr="0075489F" w:rsidRDefault="0075489F" w:rsidP="002833E7">
            <w:r w:rsidRPr="0075489F">
              <w:t>Delplan for forskningsrelaterte aktiviteter i Adventdalen - forslag til planprogram 11.11.2013</w:t>
            </w:r>
          </w:p>
        </w:tc>
      </w:tr>
      <w:tr w:rsidR="0075489F" w:rsidRPr="0075489F" w:rsidTr="0075489F">
        <w:tc>
          <w:tcPr>
            <w:tcW w:w="360" w:type="dxa"/>
            <w:shd w:val="clear" w:color="auto" w:fill="auto"/>
          </w:tcPr>
          <w:p w:rsidR="0075489F" w:rsidRPr="0075489F" w:rsidRDefault="0075489F" w:rsidP="002833E7">
            <w:r w:rsidRPr="0075489F">
              <w:t>4</w:t>
            </w:r>
          </w:p>
        </w:tc>
        <w:tc>
          <w:tcPr>
            <w:tcW w:w="8360" w:type="dxa"/>
            <w:shd w:val="clear" w:color="auto" w:fill="auto"/>
          </w:tcPr>
          <w:p w:rsidR="0075489F" w:rsidRPr="0075489F" w:rsidRDefault="0075489F" w:rsidP="002833E7">
            <w:r w:rsidRPr="0075489F">
              <w:t>Kopi: Vedtak om reduksjon av sikringssone rundt fredete kulturminner</w:t>
            </w:r>
          </w:p>
        </w:tc>
      </w:tr>
      <w:tr w:rsidR="0075489F" w:rsidRPr="0075489F" w:rsidTr="0075489F">
        <w:tc>
          <w:tcPr>
            <w:tcW w:w="360" w:type="dxa"/>
            <w:shd w:val="clear" w:color="auto" w:fill="auto"/>
          </w:tcPr>
          <w:p w:rsidR="0075489F" w:rsidRPr="0075489F" w:rsidRDefault="0075489F" w:rsidP="002833E7">
            <w:r w:rsidRPr="0075489F">
              <w:t>5</w:t>
            </w:r>
          </w:p>
        </w:tc>
        <w:tc>
          <w:tcPr>
            <w:tcW w:w="8360" w:type="dxa"/>
            <w:shd w:val="clear" w:color="auto" w:fill="auto"/>
          </w:tcPr>
          <w:p w:rsidR="0075489F" w:rsidRPr="0075489F" w:rsidRDefault="0075489F" w:rsidP="002833E7">
            <w:r w:rsidRPr="0075489F">
              <w:t>Referat fra befaring 13 (3)</w:t>
            </w:r>
          </w:p>
        </w:tc>
      </w:tr>
    </w:tbl>
    <w:p w:rsidR="00F87A77" w:rsidRDefault="00F87A77" w:rsidP="0037001C"/>
    <w:sectPr w:rsidR="00F87A77" w:rsidSect="009C0B8D">
      <w:headerReference w:type="default" r:id="rId7"/>
      <w:headerReference w:type="first" r:id="rId8"/>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0F" w:rsidRDefault="00EB4A0F" w:rsidP="002833E7">
      <w:r>
        <w:separator/>
      </w:r>
    </w:p>
  </w:endnote>
  <w:endnote w:type="continuationSeparator" w:id="0">
    <w:p w:rsidR="00EB4A0F" w:rsidRDefault="00EB4A0F" w:rsidP="0028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0F" w:rsidRDefault="00EB4A0F" w:rsidP="002833E7">
      <w:r>
        <w:separator/>
      </w:r>
    </w:p>
  </w:footnote>
  <w:footnote w:type="continuationSeparator" w:id="0">
    <w:p w:rsidR="00EB4A0F" w:rsidRDefault="00EB4A0F" w:rsidP="0028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77" w:rsidRPr="00F87A77" w:rsidRDefault="0075489F" w:rsidP="008E11A3">
    <w:pPr>
      <w:pStyle w:val="Topptekst"/>
      <w:jc w:val="both"/>
    </w:pPr>
    <w:bookmarkStart w:id="18" w:name="SAKSNR2"/>
    <w:r>
      <w:t>2013/896</w:t>
    </w:r>
    <w:bookmarkEnd w:id="18"/>
    <w:r w:rsidR="00F87A77" w:rsidRPr="00F87A77">
      <w:t>-</w:t>
    </w:r>
    <w:bookmarkStart w:id="19" w:name="NRISAK2"/>
    <w:r>
      <w:t>15</w:t>
    </w:r>
    <w:bookmarkEnd w:id="19"/>
    <w:r w:rsidR="008E11A3">
      <w:tab/>
    </w:r>
    <w:r w:rsidR="00F87A77" w:rsidRPr="00F87A77">
      <w:tab/>
    </w:r>
    <w:r w:rsidR="00F87A77" w:rsidRPr="00F87A77">
      <w:tab/>
    </w:r>
    <w:sdt>
      <w:sdtPr>
        <w:id w:val="1477648756"/>
        <w:docPartObj>
          <w:docPartGallery w:val="Page Numbers (Top of Page)"/>
          <w:docPartUnique/>
        </w:docPartObj>
      </w:sdtPr>
      <w:sdtEndPr/>
      <w:sdtContent>
        <w:r w:rsidR="00F87A77" w:rsidRPr="00F87A77">
          <w:t xml:space="preserve">Side </w:t>
        </w:r>
        <w:r w:rsidR="00F87A77" w:rsidRPr="00F87A77">
          <w:fldChar w:fldCharType="begin"/>
        </w:r>
        <w:r w:rsidR="00F87A77" w:rsidRPr="00F87A77">
          <w:instrText>PAGE</w:instrText>
        </w:r>
        <w:r w:rsidR="00F87A77" w:rsidRPr="00F87A77">
          <w:fldChar w:fldCharType="separate"/>
        </w:r>
        <w:r w:rsidR="004B5D96">
          <w:rPr>
            <w:noProof/>
          </w:rPr>
          <w:t>2</w:t>
        </w:r>
        <w:r w:rsidR="00F87A77" w:rsidRPr="00F87A77">
          <w:fldChar w:fldCharType="end"/>
        </w:r>
        <w:r w:rsidR="00F87A77" w:rsidRPr="00F87A77">
          <w:t xml:space="preserve"> av </w:t>
        </w:r>
        <w:r w:rsidR="00F87A77" w:rsidRPr="00F87A77">
          <w:fldChar w:fldCharType="begin"/>
        </w:r>
        <w:r w:rsidR="00F87A77" w:rsidRPr="00F87A77">
          <w:instrText>NUMPAGES</w:instrText>
        </w:r>
        <w:r w:rsidR="00F87A77" w:rsidRPr="00F87A77">
          <w:fldChar w:fldCharType="separate"/>
        </w:r>
        <w:r w:rsidR="004B5D96">
          <w:rPr>
            <w:noProof/>
          </w:rPr>
          <w:t>2</w:t>
        </w:r>
        <w:r w:rsidR="00F87A77" w:rsidRPr="00F87A77">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01" w:rsidRDefault="007C2401" w:rsidP="002833E7">
    <w:pPr>
      <w:pStyle w:val="Topptekst"/>
    </w:pPr>
    <w:r>
      <w:rPr>
        <w:noProof/>
        <w:lang w:eastAsia="nb-NO"/>
      </w:rPr>
      <w:drawing>
        <wp:anchor distT="0" distB="0" distL="114300" distR="114300" simplePos="0" relativeHeight="251659264" behindDoc="1" locked="0" layoutInCell="1" allowOverlap="1" wp14:anchorId="11A9C1CF" wp14:editId="387CE2DD">
          <wp:simplePos x="0" y="0"/>
          <wp:positionH relativeFrom="column">
            <wp:posOffset>-901700</wp:posOffset>
          </wp:positionH>
          <wp:positionV relativeFrom="page">
            <wp:posOffset>3010</wp:posOffset>
          </wp:positionV>
          <wp:extent cx="7557356" cy="1073888"/>
          <wp:effectExtent l="0" t="0" r="5715" b="0"/>
          <wp:wrapNone/>
          <wp:docPr id="1" name="Bilde 1" descr=":::longyera_mal_stor:jpg_ll_brevmal:ll_brevark_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yera_mal_stor:jpg_ll_brevmal:ll_brevark_topp.jpg"/>
                  <pic:cNvPicPr>
                    <a:picLocks noChangeAspect="1" noChangeArrowheads="1"/>
                  </pic:cNvPicPr>
                </pic:nvPicPr>
                <pic:blipFill>
                  <a:blip r:embed="rId1"/>
                  <a:srcRect/>
                  <a:stretch>
                    <a:fillRect/>
                  </a:stretch>
                </pic:blipFill>
                <pic:spPr bwMode="auto">
                  <a:xfrm>
                    <a:off x="0" y="0"/>
                    <a:ext cx="7557356" cy="107388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816"/>
    <w:multiLevelType w:val="hybridMultilevel"/>
    <w:tmpl w:val="18F6EF28"/>
    <w:lvl w:ilvl="0" w:tplc="D20CB1F2">
      <w:numFmt w:val="bullet"/>
      <w:lvlText w:val="-"/>
      <w:lvlJc w:val="left"/>
      <w:pPr>
        <w:ind w:left="720" w:hanging="360"/>
      </w:pPr>
      <w:rPr>
        <w:rFonts w:ascii="Arial" w:eastAsia="Cambr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0F"/>
    <w:rsid w:val="0004731C"/>
    <w:rsid w:val="000807C7"/>
    <w:rsid w:val="000E2D07"/>
    <w:rsid w:val="001072F9"/>
    <w:rsid w:val="001741FC"/>
    <w:rsid w:val="001D0E23"/>
    <w:rsid w:val="001F6C34"/>
    <w:rsid w:val="00204D96"/>
    <w:rsid w:val="00216EF3"/>
    <w:rsid w:val="00226C78"/>
    <w:rsid w:val="00255B98"/>
    <w:rsid w:val="002657F0"/>
    <w:rsid w:val="002833E7"/>
    <w:rsid w:val="002B557D"/>
    <w:rsid w:val="00305E34"/>
    <w:rsid w:val="00332A1A"/>
    <w:rsid w:val="0037001C"/>
    <w:rsid w:val="003E2A0F"/>
    <w:rsid w:val="004219E9"/>
    <w:rsid w:val="00491E34"/>
    <w:rsid w:val="004B5D96"/>
    <w:rsid w:val="005358F0"/>
    <w:rsid w:val="006A48F2"/>
    <w:rsid w:val="006B0E9E"/>
    <w:rsid w:val="006C0B67"/>
    <w:rsid w:val="00717F4B"/>
    <w:rsid w:val="0075489F"/>
    <w:rsid w:val="007A3F13"/>
    <w:rsid w:val="007A5DBD"/>
    <w:rsid w:val="007B1EE5"/>
    <w:rsid w:val="007C2401"/>
    <w:rsid w:val="00857C13"/>
    <w:rsid w:val="008C7A41"/>
    <w:rsid w:val="008E11A3"/>
    <w:rsid w:val="00906971"/>
    <w:rsid w:val="00916CC7"/>
    <w:rsid w:val="009B0C8C"/>
    <w:rsid w:val="009C0B8D"/>
    <w:rsid w:val="009F0F3C"/>
    <w:rsid w:val="00A15684"/>
    <w:rsid w:val="00A21B5B"/>
    <w:rsid w:val="00A36B09"/>
    <w:rsid w:val="00A57D3E"/>
    <w:rsid w:val="00A6616E"/>
    <w:rsid w:val="00A67D60"/>
    <w:rsid w:val="00AE58CB"/>
    <w:rsid w:val="00BA3B7F"/>
    <w:rsid w:val="00BB065F"/>
    <w:rsid w:val="00C2388B"/>
    <w:rsid w:val="00C44F71"/>
    <w:rsid w:val="00C47591"/>
    <w:rsid w:val="00C761A4"/>
    <w:rsid w:val="00CC260D"/>
    <w:rsid w:val="00D552DC"/>
    <w:rsid w:val="00D554B8"/>
    <w:rsid w:val="00D9483E"/>
    <w:rsid w:val="00D95632"/>
    <w:rsid w:val="00E5087E"/>
    <w:rsid w:val="00E72AFB"/>
    <w:rsid w:val="00EB4A0F"/>
    <w:rsid w:val="00EC0BDD"/>
    <w:rsid w:val="00F06CFF"/>
    <w:rsid w:val="00F21582"/>
    <w:rsid w:val="00F56184"/>
    <w:rsid w:val="00F87A77"/>
    <w:rsid w:val="00F96754"/>
    <w:rsid w:val="00FA2087"/>
    <w:rsid w:val="00FF54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61D5C1-7DB6-4150-BF82-3741BF8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E7"/>
    <w:pPr>
      <w:tabs>
        <w:tab w:val="left" w:pos="1170"/>
      </w:tabs>
    </w:pPr>
    <w:rPr>
      <w:rFonts w:ascii="Arial" w:eastAsia="Cambria" w:hAnsi="Arial" w:cs="Arial"/>
    </w:rPr>
  </w:style>
  <w:style w:type="paragraph" w:styleId="Overskrift1">
    <w:name w:val="heading 1"/>
    <w:basedOn w:val="Overskrift2"/>
    <w:next w:val="Normal"/>
    <w:link w:val="Overskrift1Tegn"/>
    <w:uiPriority w:val="9"/>
    <w:qFormat/>
    <w:rsid w:val="00FA2087"/>
    <w:pPr>
      <w:outlineLvl w:val="0"/>
    </w:pPr>
    <w:rPr>
      <w:sz w:val="32"/>
      <w:szCs w:val="32"/>
    </w:rPr>
  </w:style>
  <w:style w:type="paragraph" w:styleId="Overskrift2">
    <w:name w:val="heading 2"/>
    <w:basedOn w:val="Normal"/>
    <w:next w:val="Normal"/>
    <w:link w:val="Overskrift2Tegn"/>
    <w:qFormat/>
    <w:rsid w:val="00216EF3"/>
    <w:pPr>
      <w:keepNext/>
      <w:spacing w:after="280"/>
      <w:outlineLvl w:val="1"/>
    </w:pPr>
    <w:rPr>
      <w:rFonts w:eastAsia="Times New Roman"/>
      <w:b/>
      <w:bCs/>
      <w:i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A2087"/>
    <w:rPr>
      <w:rFonts w:ascii="Arial" w:eastAsia="Times New Roman" w:hAnsi="Arial" w:cs="Arial"/>
      <w:b/>
      <w:bCs/>
      <w:iCs/>
      <w:sz w:val="32"/>
      <w:szCs w:val="32"/>
      <w:lang w:eastAsia="nb-NO"/>
    </w:rPr>
  </w:style>
  <w:style w:type="paragraph" w:styleId="Topptekst">
    <w:name w:val="header"/>
    <w:basedOn w:val="Normal"/>
    <w:link w:val="TopptekstTegn"/>
    <w:uiPriority w:val="99"/>
    <w:unhideWhenUsed/>
    <w:rsid w:val="007C2401"/>
    <w:pPr>
      <w:tabs>
        <w:tab w:val="center" w:pos="4536"/>
        <w:tab w:val="right" w:pos="9072"/>
      </w:tabs>
    </w:pPr>
  </w:style>
  <w:style w:type="character" w:customStyle="1" w:styleId="TopptekstTegn">
    <w:name w:val="Topptekst Tegn"/>
    <w:basedOn w:val="Standardskriftforavsnitt"/>
    <w:link w:val="Topptekst"/>
    <w:uiPriority w:val="99"/>
    <w:rsid w:val="007C2401"/>
    <w:rPr>
      <w:rFonts w:ascii="Arial" w:hAnsi="Arial"/>
      <w:szCs w:val="24"/>
    </w:rPr>
  </w:style>
  <w:style w:type="paragraph" w:styleId="Bunntekst">
    <w:name w:val="footer"/>
    <w:basedOn w:val="Normal"/>
    <w:link w:val="BunntekstTegn"/>
    <w:uiPriority w:val="99"/>
    <w:unhideWhenUsed/>
    <w:rsid w:val="007C2401"/>
    <w:pPr>
      <w:tabs>
        <w:tab w:val="center" w:pos="4536"/>
        <w:tab w:val="right" w:pos="9072"/>
      </w:tabs>
    </w:pPr>
  </w:style>
  <w:style w:type="character" w:customStyle="1" w:styleId="BunntekstTegn">
    <w:name w:val="Bunntekst Tegn"/>
    <w:basedOn w:val="Standardskriftforavsnitt"/>
    <w:link w:val="Bunntekst"/>
    <w:uiPriority w:val="99"/>
    <w:rsid w:val="007C2401"/>
    <w:rPr>
      <w:rFonts w:ascii="Arial" w:hAnsi="Arial"/>
      <w:szCs w:val="24"/>
    </w:rPr>
  </w:style>
  <w:style w:type="paragraph" w:styleId="Bobletekst">
    <w:name w:val="Balloon Text"/>
    <w:basedOn w:val="Normal"/>
    <w:link w:val="BobletekstTegn"/>
    <w:uiPriority w:val="99"/>
    <w:semiHidden/>
    <w:unhideWhenUsed/>
    <w:rsid w:val="007C2401"/>
    <w:rPr>
      <w:rFonts w:ascii="Tahoma" w:hAnsi="Tahoma" w:cs="Tahoma"/>
      <w:sz w:val="16"/>
      <w:szCs w:val="16"/>
    </w:rPr>
  </w:style>
  <w:style w:type="character" w:customStyle="1" w:styleId="BobletekstTegn">
    <w:name w:val="Bobletekst Tegn"/>
    <w:basedOn w:val="Standardskriftforavsnitt"/>
    <w:link w:val="Bobletekst"/>
    <w:uiPriority w:val="99"/>
    <w:semiHidden/>
    <w:rsid w:val="007C2401"/>
    <w:rPr>
      <w:rFonts w:ascii="Tahoma" w:hAnsi="Tahoma" w:cs="Tahoma"/>
      <w:sz w:val="16"/>
      <w:szCs w:val="16"/>
    </w:rPr>
  </w:style>
  <w:style w:type="character" w:customStyle="1" w:styleId="Overskrift2Tegn">
    <w:name w:val="Overskrift 2 Tegn"/>
    <w:basedOn w:val="Standardskriftforavsnitt"/>
    <w:link w:val="Overskrift2"/>
    <w:rsid w:val="00216EF3"/>
    <w:rPr>
      <w:rFonts w:ascii="Arial" w:eastAsia="Times New Roman" w:hAnsi="Arial" w:cs="Arial"/>
      <w:b/>
      <w:bCs/>
      <w:i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3011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Grønseth, Linn Tautra</dc:creator>
  <cp:lastModifiedBy>Grønseth, Linn Tautra</cp:lastModifiedBy>
  <cp:revision>2</cp:revision>
  <cp:lastPrinted>2012-01-27T14:41:00Z</cp:lastPrinted>
  <dcterms:created xsi:type="dcterms:W3CDTF">2015-10-08T11:24:00Z</dcterms:created>
  <dcterms:modified xsi:type="dcterms:W3CDTF">2015-10-08T11:24:00Z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\\LLSAN01\Brukere$\svwee\81490_DOC.XML</vt:lpwstr>
  </property>
  <property fmtid="{D5CDD505-2E9C-101B-9397-08002B2CF9AE}" pid="3" name="SaksFremStilling">
    <vt:lpwstr>\\LLSAN01\Brukere$\ligro\SF_81490_DOC.XML</vt:lpwstr>
  </property>
  <property fmtid="{D5CDD505-2E9C-101B-9397-08002B2CF9AE}" pid="4" name="CheckInType">
    <vt:lpwstr>FromApplication</vt:lpwstr>
  </property>
  <property fmtid="{D5CDD505-2E9C-101B-9397-08002B2CF9AE}" pid="5" name="CheckInDocForm">
    <vt:lpwstr>http://ephorte/ephorteweb/shared/aspx/Default/CheckInDocForm.aspx</vt:lpwstr>
  </property>
  <property fmtid="{D5CDD505-2E9C-101B-9397-08002B2CF9AE}" pid="6" name="DokType">
    <vt:lpwstr>X</vt:lpwstr>
  </property>
  <property fmtid="{D5CDD505-2E9C-101B-9397-08002B2CF9AE}" pid="7" name="DokID">
    <vt:i4>82730</vt:i4>
  </property>
  <property fmtid="{D5CDD505-2E9C-101B-9397-08002B2CF9AE}" pid="8" name="Versjon">
    <vt:i4>1</vt:i4>
  </property>
  <property fmtid="{D5CDD505-2E9C-101B-9397-08002B2CF9AE}" pid="9" name="Variant">
    <vt:lpwstr>P</vt:lpwstr>
  </property>
  <property fmtid="{D5CDD505-2E9C-101B-9397-08002B2CF9AE}" pid="10" name="OpenMode">
    <vt:lpwstr>EditDoc</vt:lpwstr>
  </property>
  <property fmtid="{D5CDD505-2E9C-101B-9397-08002B2CF9AE}" pid="11" name="CurrentUrl">
    <vt:lpwstr>http%3a%2f%2fephorte%2fephorteweb%2fshared%2faspx%2fdefault%2fdetails.aspx%3ff%3dViewJP%26JP_ID%3d46860</vt:lpwstr>
  </property>
  <property fmtid="{D5CDD505-2E9C-101B-9397-08002B2CF9AE}" pid="12" name="WindowName">
    <vt:lpwstr>rbottom</vt:lpwstr>
  </property>
  <property fmtid="{D5CDD505-2E9C-101B-9397-08002B2CF9AE}" pid="13" name="FileName">
    <vt:lpwstr>%5c%5cLLSAN01%5cBrukere%24%5cligro%5c82653.DOC</vt:lpwstr>
  </property>
  <property fmtid="{D5CDD505-2E9C-101B-9397-08002B2CF9AE}" pid="14" name="LinkId">
    <vt:i4>47631</vt:i4>
  </property>
</Properties>
</file>